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0B" w:rsidRPr="00DB6E0B" w:rsidRDefault="00DB6E0B" w:rsidP="00DB6E0B">
      <w:pPr>
        <w:shd w:val="clear" w:color="auto" w:fill="7097D7"/>
        <w:spacing w:after="0" w:line="585" w:lineRule="atLeast"/>
        <w:rPr>
          <w:rFonts w:ascii="Arial" w:eastAsia="Times New Roman" w:hAnsi="Arial" w:cs="Arial"/>
          <w:b/>
          <w:bCs/>
          <w:caps/>
          <w:color w:val="FFFFFF"/>
          <w:sz w:val="20"/>
          <w:szCs w:val="20"/>
          <w:lang w:eastAsia="fr-FR"/>
        </w:rPr>
      </w:pPr>
      <w:r w:rsidRPr="00DB6E0B">
        <w:rPr>
          <w:rFonts w:ascii="Arial" w:eastAsia="Times New Roman" w:hAnsi="Arial" w:cs="Arial"/>
          <w:b/>
          <w:bCs/>
          <w:caps/>
          <w:color w:val="FFFFFF"/>
          <w:sz w:val="20"/>
          <w:szCs w:val="20"/>
          <w:lang w:eastAsia="fr-FR"/>
        </w:rPr>
        <w:t xml:space="preserve">Détails du dispositif </w:t>
      </w:r>
    </w:p>
    <w:p w:rsidR="00DB6E0B" w:rsidRPr="00DB6E0B" w:rsidRDefault="00DB6E0B" w:rsidP="00DB6E0B">
      <w:pPr>
        <w:pBdr>
          <w:bottom w:val="single" w:sz="6" w:space="1" w:color="auto"/>
        </w:pBdr>
        <w:spacing w:after="150" w:line="240" w:lineRule="auto"/>
        <w:jc w:val="center"/>
        <w:rPr>
          <w:rFonts w:ascii="Arial" w:eastAsia="Times New Roman" w:hAnsi="Arial" w:cs="Arial"/>
          <w:vanish/>
          <w:sz w:val="16"/>
          <w:szCs w:val="16"/>
          <w:lang w:eastAsia="fr-FR"/>
        </w:rPr>
      </w:pPr>
      <w:r w:rsidRPr="00DB6E0B">
        <w:rPr>
          <w:rFonts w:ascii="Arial" w:eastAsia="Times New Roman" w:hAnsi="Arial" w:cs="Arial"/>
          <w:vanish/>
          <w:sz w:val="16"/>
          <w:szCs w:val="16"/>
          <w:lang w:eastAsia="fr-FR"/>
        </w:rPr>
        <w:t>Haut du formulaire</w:t>
      </w:r>
    </w:p>
    <w:tbl>
      <w:tblPr>
        <w:tblW w:w="5000" w:type="pct"/>
        <w:tblBorders>
          <w:bottom w:val="single" w:sz="6" w:space="0" w:color="CDCDCD"/>
        </w:tblBorders>
        <w:shd w:val="clear" w:color="auto" w:fill="FFFFFF"/>
        <w:tblCellMar>
          <w:left w:w="0" w:type="dxa"/>
          <w:right w:w="0" w:type="dxa"/>
        </w:tblCellMar>
        <w:tblLook w:val="04A0" w:firstRow="1" w:lastRow="0" w:firstColumn="1" w:lastColumn="0" w:noHBand="0" w:noVBand="1"/>
        <w:tblDescription w:val="Liste des Dispositifs d'aide"/>
      </w:tblPr>
      <w:tblGrid>
        <w:gridCol w:w="4536"/>
        <w:gridCol w:w="4536"/>
      </w:tblGrid>
      <w:tr w:rsidR="00DB6E0B" w:rsidRPr="00DB6E0B" w:rsidTr="00DB6E0B">
        <w:trPr>
          <w:tblHeader/>
        </w:trPr>
        <w:tc>
          <w:tcPr>
            <w:tcW w:w="0" w:type="auto"/>
            <w:tcBorders>
              <w:bottom w:val="single" w:sz="6" w:space="0" w:color="CDCDCD"/>
            </w:tcBorders>
            <w:shd w:val="clear" w:color="auto" w:fill="CDCDCD"/>
            <w:tcMar>
              <w:top w:w="45" w:type="dxa"/>
              <w:left w:w="45" w:type="dxa"/>
              <w:bottom w:w="45" w:type="dxa"/>
              <w:right w:w="45" w:type="dxa"/>
            </w:tcMar>
            <w:hideMark/>
          </w:tcPr>
          <w:p w:rsidR="00DB6E0B" w:rsidRPr="00DB6E0B" w:rsidRDefault="00DB6E0B" w:rsidP="00DB6E0B">
            <w:pPr>
              <w:spacing w:before="90" w:after="0" w:line="240" w:lineRule="auto"/>
              <w:rPr>
                <w:rFonts w:ascii="Verdana" w:eastAsia="Times New Roman" w:hAnsi="Verdana" w:cs="Times New Roman"/>
                <w:b/>
                <w:bCs/>
                <w:color w:val="545454"/>
                <w:sz w:val="20"/>
                <w:szCs w:val="20"/>
                <w:lang w:eastAsia="fr-FR"/>
              </w:rPr>
            </w:pPr>
            <w:r w:rsidRPr="00DB6E0B">
              <w:rPr>
                <w:rFonts w:ascii="Verdana" w:eastAsia="Times New Roman" w:hAnsi="Verdana" w:cs="Times New Roman"/>
                <w:b/>
                <w:bCs/>
                <w:color w:val="545454"/>
                <w:sz w:val="20"/>
                <w:szCs w:val="20"/>
                <w:lang w:eastAsia="fr-FR"/>
              </w:rPr>
              <w:t>[4TIL] Appel à projets Permanents 4T et Illettrisme</w:t>
            </w:r>
          </w:p>
        </w:tc>
        <w:tc>
          <w:tcPr>
            <w:tcW w:w="2500" w:type="pct"/>
            <w:tcBorders>
              <w:bottom w:val="single" w:sz="6" w:space="0" w:color="CDCDCD"/>
            </w:tcBorders>
            <w:shd w:val="clear" w:color="auto" w:fill="CDCDCD"/>
            <w:tcMar>
              <w:top w:w="45" w:type="dxa"/>
              <w:left w:w="45" w:type="dxa"/>
              <w:bottom w:w="45" w:type="dxa"/>
              <w:right w:w="45" w:type="dxa"/>
            </w:tcMar>
            <w:vAlign w:val="center"/>
            <w:hideMark/>
          </w:tcPr>
          <w:p w:rsidR="00DB6E0B" w:rsidRPr="00DB6E0B" w:rsidRDefault="00DB6E0B" w:rsidP="00DB6E0B">
            <w:pPr>
              <w:spacing w:before="90" w:after="0" w:line="240" w:lineRule="auto"/>
              <w:jc w:val="right"/>
              <w:rPr>
                <w:rFonts w:ascii="Verdana" w:eastAsia="Times New Roman" w:hAnsi="Verdana" w:cs="Times New Roman"/>
                <w:b/>
                <w:bCs/>
                <w:color w:val="666666"/>
                <w:sz w:val="18"/>
                <w:szCs w:val="18"/>
                <w:lang w:eastAsia="fr-FR"/>
              </w:rPr>
            </w:pPr>
            <w:r w:rsidRPr="00DB6E0B">
              <w:rPr>
                <w:rFonts w:ascii="Verdana" w:eastAsia="Times New Roman" w:hAnsi="Verdana" w:cs="Times New Roman"/>
                <w:b/>
                <w:bCs/>
                <w:color w:val="666666"/>
                <w:sz w:val="18"/>
                <w:szCs w:val="18"/>
                <w:lang w:eastAsia="fr-FR"/>
              </w:rPr>
              <w:t>Référence 4TIL</w:t>
            </w:r>
          </w:p>
        </w:tc>
      </w:tr>
      <w:tr w:rsidR="00DB6E0B" w:rsidRPr="00DB6E0B" w:rsidTr="00DB6E0B">
        <w:tc>
          <w:tcPr>
            <w:tcW w:w="0" w:type="auto"/>
            <w:tcBorders>
              <w:top w:val="nil"/>
              <w:left w:val="nil"/>
              <w:bottom w:val="nil"/>
              <w:right w:val="nil"/>
            </w:tcBorders>
            <w:shd w:val="clear" w:color="auto" w:fill="EAEAEA"/>
            <w:tcMar>
              <w:top w:w="150" w:type="dxa"/>
              <w:left w:w="225" w:type="dxa"/>
              <w:bottom w:w="45" w:type="dxa"/>
              <w:right w:w="45" w:type="dxa"/>
            </w:tcMar>
            <w:hideMark/>
          </w:tcPr>
          <w:p w:rsidR="00DB6E0B" w:rsidRPr="00DB6E0B" w:rsidRDefault="00DB6E0B" w:rsidP="00DB6E0B">
            <w:pPr>
              <w:spacing w:before="90" w:after="75" w:line="240" w:lineRule="auto"/>
              <w:rPr>
                <w:rFonts w:ascii="Verdana" w:eastAsia="Times New Roman" w:hAnsi="Verdana" w:cs="Times New Roman"/>
                <w:color w:val="545454"/>
                <w:sz w:val="15"/>
                <w:szCs w:val="15"/>
                <w:lang w:eastAsia="fr-FR"/>
              </w:rPr>
            </w:pPr>
            <w:r w:rsidRPr="00DB6E0B">
              <w:rPr>
                <w:rFonts w:ascii="Verdana" w:eastAsia="Times New Roman" w:hAnsi="Verdana" w:cs="Times New Roman"/>
                <w:b/>
                <w:bCs/>
                <w:color w:val="545454"/>
                <w:sz w:val="15"/>
                <w:szCs w:val="15"/>
                <w:lang w:eastAsia="fr-FR"/>
              </w:rPr>
              <w:t>Domaine</w:t>
            </w:r>
            <w:r w:rsidRPr="00DB6E0B">
              <w:rPr>
                <w:rFonts w:ascii="Verdana" w:eastAsia="Times New Roman" w:hAnsi="Verdana" w:cs="Times New Roman"/>
                <w:color w:val="545454"/>
                <w:sz w:val="15"/>
                <w:szCs w:val="15"/>
                <w:lang w:eastAsia="fr-FR"/>
              </w:rPr>
              <w:t xml:space="preserve"> : [APF] Aides aux projets en fonctionnement </w:t>
            </w:r>
          </w:p>
        </w:tc>
        <w:tc>
          <w:tcPr>
            <w:tcW w:w="0" w:type="auto"/>
            <w:tcBorders>
              <w:top w:val="nil"/>
              <w:left w:val="nil"/>
              <w:bottom w:val="nil"/>
              <w:right w:val="nil"/>
            </w:tcBorders>
            <w:shd w:val="clear" w:color="auto" w:fill="EAEAEA"/>
            <w:tcMar>
              <w:top w:w="150" w:type="dxa"/>
              <w:left w:w="45" w:type="dxa"/>
              <w:bottom w:w="45" w:type="dxa"/>
              <w:right w:w="45" w:type="dxa"/>
            </w:tcMar>
            <w:hideMark/>
          </w:tcPr>
          <w:p w:rsidR="00DB6E0B" w:rsidRPr="00DB6E0B" w:rsidRDefault="00DB6E0B" w:rsidP="00DB6E0B">
            <w:pPr>
              <w:spacing w:before="90" w:after="75" w:line="240" w:lineRule="auto"/>
              <w:rPr>
                <w:rFonts w:ascii="Verdana" w:eastAsia="Times New Roman" w:hAnsi="Verdana" w:cs="Times New Roman"/>
                <w:color w:val="545454"/>
                <w:sz w:val="15"/>
                <w:szCs w:val="15"/>
                <w:lang w:eastAsia="fr-FR"/>
              </w:rPr>
            </w:pPr>
            <w:r w:rsidRPr="00DB6E0B">
              <w:rPr>
                <w:rFonts w:ascii="Verdana" w:eastAsia="Times New Roman" w:hAnsi="Verdana" w:cs="Times New Roman"/>
                <w:b/>
                <w:bCs/>
                <w:color w:val="545454"/>
                <w:sz w:val="15"/>
                <w:szCs w:val="15"/>
                <w:lang w:eastAsia="fr-FR"/>
              </w:rPr>
              <w:t>Type de Bénéficiaire</w:t>
            </w:r>
            <w:r w:rsidRPr="00DB6E0B">
              <w:rPr>
                <w:rFonts w:ascii="Verdana" w:eastAsia="Times New Roman" w:hAnsi="Verdana" w:cs="Times New Roman"/>
                <w:color w:val="545454"/>
                <w:sz w:val="15"/>
                <w:szCs w:val="15"/>
                <w:lang w:eastAsia="fr-FR"/>
              </w:rPr>
              <w:t xml:space="preserve"> </w:t>
            </w:r>
            <w:r w:rsidRPr="00DB6E0B">
              <w:rPr>
                <w:rFonts w:ascii="Verdana" w:eastAsia="Times New Roman" w:hAnsi="Verdana" w:cs="Times New Roman"/>
                <w:noProof/>
                <w:color w:val="545454"/>
                <w:sz w:val="15"/>
                <w:szCs w:val="15"/>
                <w:lang w:eastAsia="fr-FR"/>
              </w:rPr>
              <w:drawing>
                <wp:inline distT="0" distB="0" distL="0" distR="0">
                  <wp:extent cx="228600" cy="180975"/>
                  <wp:effectExtent l="0" t="0" r="0" b="9525"/>
                  <wp:docPr id="3" name="Image 3" descr="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DB6E0B">
              <w:rPr>
                <w:rFonts w:ascii="Verdana" w:eastAsia="Times New Roman" w:hAnsi="Verdana" w:cs="Times New Roman"/>
                <w:noProof/>
                <w:color w:val="545454"/>
                <w:sz w:val="15"/>
                <w:szCs w:val="15"/>
                <w:lang w:eastAsia="fr-FR"/>
              </w:rPr>
              <w:drawing>
                <wp:inline distT="0" distB="0" distL="0" distR="0">
                  <wp:extent cx="228600" cy="180975"/>
                  <wp:effectExtent l="0" t="0" r="0" b="9525"/>
                  <wp:docPr id="2" name="Image 2" descr="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epr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DB6E0B">
              <w:rPr>
                <w:rFonts w:ascii="Verdana" w:eastAsia="Times New Roman" w:hAnsi="Verdana" w:cs="Times New Roman"/>
                <w:noProof/>
                <w:color w:val="545454"/>
                <w:sz w:val="15"/>
                <w:szCs w:val="15"/>
                <w:lang w:eastAsia="fr-FR"/>
              </w:rPr>
              <w:drawing>
                <wp:inline distT="0" distB="0" distL="0" distR="0">
                  <wp:extent cx="228600" cy="180975"/>
                  <wp:effectExtent l="0" t="0" r="0" b="9525"/>
                  <wp:docPr id="1" name="Image 1" descr="Collectivité terri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ctivité territori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DB6E0B" w:rsidRPr="00DB6E0B" w:rsidRDefault="00DB6E0B" w:rsidP="00DB6E0B">
            <w:pPr>
              <w:spacing w:before="90" w:after="75" w:line="240" w:lineRule="auto"/>
              <w:rPr>
                <w:rFonts w:ascii="Verdana" w:eastAsia="Times New Roman" w:hAnsi="Verdana" w:cs="Times New Roman"/>
                <w:color w:val="545454"/>
                <w:sz w:val="15"/>
                <w:szCs w:val="15"/>
                <w:lang w:eastAsia="fr-FR"/>
              </w:rPr>
            </w:pPr>
            <w:r w:rsidRPr="00DB6E0B">
              <w:rPr>
                <w:rFonts w:ascii="Verdana" w:eastAsia="Times New Roman" w:hAnsi="Verdana" w:cs="Times New Roman"/>
                <w:b/>
                <w:bCs/>
                <w:color w:val="545454"/>
                <w:sz w:val="15"/>
                <w:szCs w:val="15"/>
                <w:lang w:eastAsia="fr-FR"/>
              </w:rPr>
              <w:t>Dates de la campagne</w:t>
            </w:r>
            <w:r w:rsidRPr="00DB6E0B">
              <w:rPr>
                <w:rFonts w:ascii="Verdana" w:eastAsia="Times New Roman" w:hAnsi="Verdana" w:cs="Times New Roman"/>
                <w:color w:val="545454"/>
                <w:sz w:val="15"/>
                <w:szCs w:val="15"/>
                <w:lang w:eastAsia="fr-FR"/>
              </w:rPr>
              <w:t xml:space="preserve"> : Du 13/07/2017 au -</w:t>
            </w:r>
          </w:p>
          <w:p w:rsidR="00DB6E0B" w:rsidRPr="00DB6E0B" w:rsidRDefault="00DB6E0B" w:rsidP="00DB6E0B">
            <w:pPr>
              <w:spacing w:before="90" w:after="75" w:line="240" w:lineRule="auto"/>
              <w:rPr>
                <w:rFonts w:ascii="Verdana" w:eastAsia="Times New Roman" w:hAnsi="Verdana" w:cs="Times New Roman"/>
                <w:color w:val="545454"/>
                <w:sz w:val="15"/>
                <w:szCs w:val="15"/>
                <w:lang w:eastAsia="fr-FR"/>
              </w:rPr>
            </w:pPr>
            <w:r w:rsidRPr="00DB6E0B">
              <w:rPr>
                <w:rFonts w:ascii="Verdana" w:eastAsia="Times New Roman" w:hAnsi="Verdana" w:cs="Times New Roman"/>
                <w:b/>
                <w:bCs/>
                <w:color w:val="545454"/>
                <w:sz w:val="15"/>
                <w:szCs w:val="15"/>
                <w:lang w:eastAsia="fr-FR"/>
              </w:rPr>
              <w:t>Budget global</w:t>
            </w:r>
            <w:r w:rsidRPr="00DB6E0B">
              <w:rPr>
                <w:rFonts w:ascii="Verdana" w:eastAsia="Times New Roman" w:hAnsi="Verdana" w:cs="Times New Roman"/>
                <w:color w:val="545454"/>
                <w:sz w:val="15"/>
                <w:szCs w:val="15"/>
                <w:lang w:eastAsia="fr-FR"/>
              </w:rPr>
              <w:t xml:space="preserve"> : - </w:t>
            </w:r>
          </w:p>
        </w:tc>
      </w:tr>
    </w:tbl>
    <w:p w:rsidR="00DB6E0B" w:rsidRPr="00DB6E0B" w:rsidRDefault="00DB6E0B" w:rsidP="00DB6E0B">
      <w:pPr>
        <w:pBdr>
          <w:top w:val="single" w:sz="6" w:space="1" w:color="auto"/>
        </w:pBdr>
        <w:spacing w:after="0" w:line="240" w:lineRule="auto"/>
        <w:jc w:val="center"/>
        <w:rPr>
          <w:rFonts w:ascii="Arial" w:eastAsia="Times New Roman" w:hAnsi="Arial" w:cs="Arial"/>
          <w:vanish/>
          <w:sz w:val="16"/>
          <w:szCs w:val="16"/>
          <w:lang w:eastAsia="fr-FR"/>
        </w:rPr>
      </w:pPr>
      <w:r w:rsidRPr="00DB6E0B">
        <w:rPr>
          <w:rFonts w:ascii="Arial" w:eastAsia="Times New Roman" w:hAnsi="Arial" w:cs="Arial"/>
          <w:vanish/>
          <w:sz w:val="16"/>
          <w:szCs w:val="16"/>
          <w:lang w:eastAsia="fr-FR"/>
        </w:rPr>
        <w:t>Bas du formulaire</w:t>
      </w:r>
    </w:p>
    <w:p w:rsidR="00DB6E0B" w:rsidRPr="00DB6E0B" w:rsidRDefault="00DB6E0B" w:rsidP="00DB6E0B">
      <w:pPr>
        <w:pBdr>
          <w:bottom w:val="single" w:sz="6" w:space="0" w:color="D0D0D0"/>
        </w:pBdr>
        <w:shd w:val="clear" w:color="auto" w:fill="FFFFFF"/>
        <w:spacing w:before="225" w:after="75" w:line="225" w:lineRule="atLeast"/>
        <w:ind w:right="255"/>
        <w:outlineLvl w:val="3"/>
        <w:rPr>
          <w:rFonts w:ascii="Arial" w:eastAsia="Times New Roman" w:hAnsi="Arial" w:cs="Arial"/>
          <w:b/>
          <w:bCs/>
          <w:caps/>
          <w:color w:val="4A4A4A"/>
          <w:sz w:val="17"/>
          <w:szCs w:val="17"/>
          <w:lang w:eastAsia="fr-FR"/>
        </w:rPr>
      </w:pPr>
      <w:r w:rsidRPr="00DB6E0B">
        <w:rPr>
          <w:rFonts w:ascii="Arial" w:eastAsia="Times New Roman" w:hAnsi="Arial" w:cs="Arial"/>
          <w:b/>
          <w:bCs/>
          <w:caps/>
          <w:color w:val="4A4A4A"/>
          <w:sz w:val="17"/>
          <w:szCs w:val="17"/>
          <w:shd w:val="clear" w:color="auto" w:fill="D0D0D0"/>
          <w:lang w:eastAsia="fr-FR"/>
        </w:rPr>
        <w:t>objet</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La Région a défini ses priorités en matière de jeunesse autours de 4 priorités (ou « 4T ») :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ind w:left="855" w:hanging="360"/>
        <w:rPr>
          <w:rFonts w:ascii="Arial" w:eastAsia="Times New Roman" w:hAnsi="Arial" w:cs="Arial"/>
          <w:color w:val="4A4A4A"/>
          <w:sz w:val="17"/>
          <w:szCs w:val="17"/>
          <w:lang w:eastAsia="fr-FR"/>
        </w:rPr>
      </w:pPr>
      <w:r w:rsidRPr="00DB6E0B">
        <w:rPr>
          <w:rFonts w:ascii="Times New Roman" w:eastAsia="Times New Roman" w:hAnsi="Times New Roman" w:cs="Times New Roman"/>
          <w:color w:val="4A4A4A"/>
          <w:sz w:val="20"/>
          <w:szCs w:val="20"/>
          <w:lang w:eastAsia="fr-FR"/>
        </w:rPr>
        <w:t>-</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Garantir aux jeunes un « TREMPLIN » vers l’insertion sociale et professionnelle</w:t>
      </w:r>
    </w:p>
    <w:p w:rsidR="00DB6E0B" w:rsidRPr="00DB6E0B" w:rsidRDefault="00DB6E0B" w:rsidP="00DB6E0B">
      <w:pPr>
        <w:spacing w:after="0" w:line="240" w:lineRule="auto"/>
        <w:ind w:left="855" w:hanging="360"/>
        <w:rPr>
          <w:rFonts w:ascii="Arial" w:eastAsia="Times New Roman" w:hAnsi="Arial" w:cs="Arial"/>
          <w:color w:val="4A4A4A"/>
          <w:sz w:val="17"/>
          <w:szCs w:val="17"/>
          <w:lang w:eastAsia="fr-FR"/>
        </w:rPr>
      </w:pPr>
      <w:r w:rsidRPr="00DB6E0B">
        <w:rPr>
          <w:rFonts w:ascii="Times New Roman" w:eastAsia="Times New Roman" w:hAnsi="Times New Roman" w:cs="Times New Roman"/>
          <w:color w:val="4A4A4A"/>
          <w:sz w:val="20"/>
          <w:szCs w:val="20"/>
          <w:lang w:eastAsia="fr-FR"/>
        </w:rPr>
        <w:t>-</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Développer des expériences de « TRAVAIL » dans une perspective de trajectoire vers l’emploi</w:t>
      </w:r>
    </w:p>
    <w:p w:rsidR="00DB6E0B" w:rsidRPr="00DB6E0B" w:rsidRDefault="00DB6E0B" w:rsidP="00DB6E0B">
      <w:pPr>
        <w:spacing w:after="0" w:line="240" w:lineRule="auto"/>
        <w:ind w:left="855" w:hanging="360"/>
        <w:rPr>
          <w:rFonts w:ascii="Arial" w:eastAsia="Times New Roman" w:hAnsi="Arial" w:cs="Arial"/>
          <w:color w:val="4A4A4A"/>
          <w:sz w:val="17"/>
          <w:szCs w:val="17"/>
          <w:lang w:eastAsia="fr-FR"/>
        </w:rPr>
      </w:pPr>
      <w:r w:rsidRPr="00DB6E0B">
        <w:rPr>
          <w:rFonts w:ascii="Times New Roman" w:eastAsia="Times New Roman" w:hAnsi="Times New Roman" w:cs="Times New Roman"/>
          <w:color w:val="4A4A4A"/>
          <w:sz w:val="20"/>
          <w:szCs w:val="20"/>
          <w:lang w:eastAsia="fr-FR"/>
        </w:rPr>
        <w:t>-</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Garantir un moyen de « TRANSPORT », condition d’accès au travail pour les jeunes</w:t>
      </w:r>
    </w:p>
    <w:p w:rsidR="00DB6E0B" w:rsidRPr="00DB6E0B" w:rsidRDefault="00DB6E0B" w:rsidP="00DB6E0B">
      <w:pPr>
        <w:spacing w:after="0" w:line="240" w:lineRule="auto"/>
        <w:ind w:left="855" w:hanging="360"/>
        <w:rPr>
          <w:rFonts w:ascii="Arial" w:eastAsia="Times New Roman" w:hAnsi="Arial" w:cs="Arial"/>
          <w:color w:val="4A4A4A"/>
          <w:sz w:val="17"/>
          <w:szCs w:val="17"/>
          <w:lang w:eastAsia="fr-FR"/>
        </w:rPr>
      </w:pPr>
      <w:r w:rsidRPr="00DB6E0B">
        <w:rPr>
          <w:rFonts w:ascii="Times New Roman" w:eastAsia="Times New Roman" w:hAnsi="Times New Roman" w:cs="Times New Roman"/>
          <w:color w:val="4A4A4A"/>
          <w:sz w:val="20"/>
          <w:szCs w:val="20"/>
          <w:lang w:eastAsia="fr-FR"/>
        </w:rPr>
        <w:t>-</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Favoriser l’accès à un « TOIT » pour chaque jeune</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La Région entend également définir la LUTTE CONTRE L’ILLETTRISME comme étant un de ses principaux </w:t>
      </w:r>
      <w:proofErr w:type="spellStart"/>
      <w:r w:rsidRPr="00DB6E0B">
        <w:rPr>
          <w:rFonts w:ascii="&amp;quot" w:eastAsia="Times New Roman" w:hAnsi="&amp;quot" w:cs="Arial"/>
          <w:color w:val="4A4A4A"/>
          <w:sz w:val="20"/>
          <w:szCs w:val="20"/>
          <w:lang w:eastAsia="fr-FR"/>
        </w:rPr>
        <w:t>engagments</w:t>
      </w:r>
      <w:proofErr w:type="spellEnd"/>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Les projets portés par les acteurs associatifs devront :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numPr>
          <w:ilvl w:val="0"/>
          <w:numId w:val="1"/>
        </w:numPr>
        <w:spacing w:before="100" w:beforeAutospacing="1" w:line="256" w:lineRule="auto"/>
        <w:ind w:left="285" w:right="330"/>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Associer les publics bénéficiaires (les jeunes) à son élaboration, sa mise en œuvre ou son évaluation,</w:t>
      </w:r>
    </w:p>
    <w:p w:rsidR="00DB6E0B" w:rsidRPr="00DB6E0B" w:rsidRDefault="00DB6E0B" w:rsidP="00DB6E0B">
      <w:pPr>
        <w:numPr>
          <w:ilvl w:val="0"/>
          <w:numId w:val="1"/>
        </w:numPr>
        <w:spacing w:before="100" w:beforeAutospacing="1" w:line="256" w:lineRule="auto"/>
        <w:ind w:left="285" w:right="330"/>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Caractériser leur aspect innovant par : </w:t>
      </w:r>
    </w:p>
    <w:p w:rsidR="00DB6E0B" w:rsidRPr="00DB6E0B" w:rsidRDefault="00DB6E0B" w:rsidP="00DB6E0B">
      <w:pPr>
        <w:numPr>
          <w:ilvl w:val="1"/>
          <w:numId w:val="1"/>
        </w:numPr>
        <w:spacing w:before="100" w:beforeAutospacing="1" w:line="256" w:lineRule="auto"/>
        <w:ind w:left="435" w:right="480"/>
        <w:jc w:val="both"/>
        <w:rPr>
          <w:rFonts w:ascii="Arial" w:eastAsia="Times New Roman" w:hAnsi="Arial" w:cs="Arial"/>
          <w:color w:val="4A4A4A"/>
          <w:sz w:val="17"/>
          <w:szCs w:val="17"/>
          <w:lang w:eastAsia="fr-FR"/>
        </w:rPr>
      </w:pPr>
      <w:proofErr w:type="gramStart"/>
      <w:r w:rsidRPr="00DB6E0B">
        <w:rPr>
          <w:rFonts w:ascii="&amp;quot" w:eastAsia="Times New Roman" w:hAnsi="&amp;quot" w:cs="Arial"/>
          <w:color w:val="4A4A4A"/>
          <w:sz w:val="20"/>
          <w:szCs w:val="20"/>
          <w:lang w:eastAsia="fr-FR"/>
        </w:rPr>
        <w:t>son</w:t>
      </w:r>
      <w:proofErr w:type="gramEnd"/>
      <w:r w:rsidRPr="00DB6E0B">
        <w:rPr>
          <w:rFonts w:ascii="&amp;quot" w:eastAsia="Times New Roman" w:hAnsi="&amp;quot" w:cs="Arial"/>
          <w:color w:val="4A4A4A"/>
          <w:sz w:val="20"/>
          <w:szCs w:val="20"/>
          <w:lang w:eastAsia="fr-FR"/>
        </w:rPr>
        <w:t xml:space="preserve"> public cible : jeunes « éloignés » des pratiques, en difficulté, à autonomie relative…ou</w:t>
      </w:r>
    </w:p>
    <w:p w:rsidR="00DB6E0B" w:rsidRPr="00DB6E0B" w:rsidRDefault="00DB6E0B" w:rsidP="00DB6E0B">
      <w:pPr>
        <w:numPr>
          <w:ilvl w:val="1"/>
          <w:numId w:val="1"/>
        </w:numPr>
        <w:spacing w:before="100" w:beforeAutospacing="1" w:line="256" w:lineRule="auto"/>
        <w:ind w:left="435" w:right="480"/>
        <w:jc w:val="both"/>
        <w:rPr>
          <w:rFonts w:ascii="Arial" w:eastAsia="Times New Roman" w:hAnsi="Arial" w:cs="Arial"/>
          <w:color w:val="4A4A4A"/>
          <w:sz w:val="17"/>
          <w:szCs w:val="17"/>
          <w:lang w:eastAsia="fr-FR"/>
        </w:rPr>
      </w:pPr>
      <w:proofErr w:type="gramStart"/>
      <w:r w:rsidRPr="00DB6E0B">
        <w:rPr>
          <w:rFonts w:ascii="&amp;quot" w:eastAsia="Times New Roman" w:hAnsi="&amp;quot" w:cs="Arial"/>
          <w:color w:val="4A4A4A"/>
          <w:sz w:val="20"/>
          <w:szCs w:val="20"/>
          <w:lang w:eastAsia="fr-FR"/>
        </w:rPr>
        <w:t>son</w:t>
      </w:r>
      <w:proofErr w:type="gramEnd"/>
      <w:r w:rsidRPr="00DB6E0B">
        <w:rPr>
          <w:rFonts w:ascii="&amp;quot" w:eastAsia="Times New Roman" w:hAnsi="&amp;quot" w:cs="Arial"/>
          <w:color w:val="4A4A4A"/>
          <w:sz w:val="20"/>
          <w:szCs w:val="20"/>
          <w:lang w:eastAsia="fr-FR"/>
        </w:rPr>
        <w:t xml:space="preserve"> périmètre d’action : territoires ruraux, territoires en déshérence associative… ou</w:t>
      </w:r>
    </w:p>
    <w:p w:rsidR="00DB6E0B" w:rsidRPr="00DB6E0B" w:rsidRDefault="00DB6E0B" w:rsidP="00DB6E0B">
      <w:pPr>
        <w:numPr>
          <w:ilvl w:val="1"/>
          <w:numId w:val="1"/>
        </w:numPr>
        <w:spacing w:before="100" w:beforeAutospacing="1" w:line="256" w:lineRule="auto"/>
        <w:ind w:left="435" w:right="480"/>
        <w:jc w:val="both"/>
        <w:rPr>
          <w:rFonts w:ascii="Arial" w:eastAsia="Times New Roman" w:hAnsi="Arial" w:cs="Arial"/>
          <w:color w:val="4A4A4A"/>
          <w:sz w:val="17"/>
          <w:szCs w:val="17"/>
          <w:lang w:eastAsia="fr-FR"/>
        </w:rPr>
      </w:pPr>
      <w:proofErr w:type="gramStart"/>
      <w:r w:rsidRPr="00DB6E0B">
        <w:rPr>
          <w:rFonts w:ascii="&amp;quot" w:eastAsia="Times New Roman" w:hAnsi="&amp;quot" w:cs="Arial"/>
          <w:color w:val="4A4A4A"/>
          <w:sz w:val="20"/>
          <w:szCs w:val="20"/>
          <w:lang w:eastAsia="fr-FR"/>
        </w:rPr>
        <w:t>sa</w:t>
      </w:r>
      <w:proofErr w:type="gramEnd"/>
      <w:r w:rsidRPr="00DB6E0B">
        <w:rPr>
          <w:rFonts w:ascii="&amp;quot" w:eastAsia="Times New Roman" w:hAnsi="&amp;quot" w:cs="Arial"/>
          <w:color w:val="4A4A4A"/>
          <w:sz w:val="20"/>
          <w:szCs w:val="20"/>
          <w:lang w:eastAsia="fr-FR"/>
        </w:rPr>
        <w:t xml:space="preserve"> manière de faire : mode projets, expérimentation, mutualisations…</w:t>
      </w:r>
    </w:p>
    <w:p w:rsidR="00DB6E0B" w:rsidRPr="00DB6E0B" w:rsidRDefault="00DB6E0B" w:rsidP="00DB6E0B">
      <w:pPr>
        <w:numPr>
          <w:ilvl w:val="0"/>
          <w:numId w:val="2"/>
        </w:numPr>
        <w:spacing w:before="100" w:beforeAutospacing="1" w:line="256" w:lineRule="auto"/>
        <w:ind w:left="285" w:right="330"/>
        <w:rPr>
          <w:rFonts w:ascii="Arial" w:eastAsia="Times New Roman" w:hAnsi="Arial" w:cs="Arial"/>
          <w:color w:val="4A4A4A"/>
          <w:sz w:val="17"/>
          <w:szCs w:val="17"/>
          <w:lang w:eastAsia="fr-FR"/>
        </w:rPr>
      </w:pPr>
      <w:proofErr w:type="gramStart"/>
      <w:r w:rsidRPr="00DB6E0B">
        <w:rPr>
          <w:rFonts w:ascii="&amp;quot" w:eastAsia="Times New Roman" w:hAnsi="&amp;quot" w:cs="Arial"/>
          <w:color w:val="4A4A4A"/>
          <w:sz w:val="20"/>
          <w:szCs w:val="20"/>
          <w:lang w:eastAsia="fr-FR"/>
        </w:rPr>
        <w:t>inciter</w:t>
      </w:r>
      <w:proofErr w:type="gramEnd"/>
      <w:r w:rsidRPr="00DB6E0B">
        <w:rPr>
          <w:rFonts w:ascii="&amp;quot" w:eastAsia="Times New Roman" w:hAnsi="&amp;quot" w:cs="Arial"/>
          <w:color w:val="4A4A4A"/>
          <w:sz w:val="20"/>
          <w:szCs w:val="20"/>
          <w:lang w:eastAsia="fr-FR"/>
        </w:rPr>
        <w:t xml:space="preserve"> au dynamisme sur les territoires en favorisant l’échange et la mise en place de partenariat avec une ou plusieurs structures du territoire</w:t>
      </w:r>
    </w:p>
    <w:p w:rsidR="00DB6E0B" w:rsidRPr="00DB6E0B" w:rsidRDefault="00DB6E0B" w:rsidP="00DB6E0B">
      <w:pPr>
        <w:numPr>
          <w:ilvl w:val="0"/>
          <w:numId w:val="2"/>
        </w:numPr>
        <w:spacing w:after="0" w:line="240" w:lineRule="auto"/>
        <w:ind w:left="285" w:right="330"/>
        <w:rPr>
          <w:rFonts w:ascii="Arial" w:eastAsia="Times New Roman" w:hAnsi="Arial" w:cs="Arial"/>
          <w:color w:val="4A4A4A"/>
          <w:sz w:val="17"/>
          <w:szCs w:val="17"/>
          <w:lang w:eastAsia="fr-FR"/>
        </w:rPr>
      </w:pPr>
      <w:proofErr w:type="gramStart"/>
      <w:r w:rsidRPr="00DB6E0B">
        <w:rPr>
          <w:rFonts w:ascii="&amp;quot" w:eastAsia="Times New Roman" w:hAnsi="&amp;quot" w:cs="Arial"/>
          <w:color w:val="4A4A4A"/>
          <w:sz w:val="20"/>
          <w:szCs w:val="20"/>
          <w:lang w:eastAsia="fr-FR"/>
        </w:rPr>
        <w:t>s’inscrire</w:t>
      </w:r>
      <w:proofErr w:type="gramEnd"/>
      <w:r w:rsidRPr="00DB6E0B">
        <w:rPr>
          <w:rFonts w:ascii="&amp;quot" w:eastAsia="Times New Roman" w:hAnsi="&amp;quot" w:cs="Arial"/>
          <w:color w:val="4A4A4A"/>
          <w:sz w:val="20"/>
          <w:szCs w:val="20"/>
          <w:lang w:eastAsia="fr-FR"/>
        </w:rPr>
        <w:t xml:space="preserve"> dans l’un des « 4T » de la politique Jeunesse, ou en lien avec la lutte contre l’illettrisme,</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rial" w:eastAsia="Times New Roman" w:hAnsi="Arial" w:cs="Arial"/>
          <w:color w:val="4A4A4A"/>
          <w:sz w:val="17"/>
          <w:szCs w:val="17"/>
          <w:lang w:eastAsia="fr-FR"/>
        </w:rPr>
        <w:br/>
      </w:r>
    </w:p>
    <w:p w:rsidR="00DB6E0B" w:rsidRPr="00DB6E0B" w:rsidRDefault="00DB6E0B" w:rsidP="00DB6E0B">
      <w:pPr>
        <w:pBdr>
          <w:bottom w:val="single" w:sz="6" w:space="0" w:color="D0D0D0"/>
        </w:pBdr>
        <w:shd w:val="clear" w:color="auto" w:fill="FFFFFF"/>
        <w:spacing w:before="225" w:after="75" w:line="225" w:lineRule="atLeast"/>
        <w:ind w:right="255"/>
        <w:outlineLvl w:val="3"/>
        <w:rPr>
          <w:rFonts w:ascii="Arial" w:eastAsia="Times New Roman" w:hAnsi="Arial" w:cs="Arial"/>
          <w:b/>
          <w:bCs/>
          <w:caps/>
          <w:color w:val="4A4A4A"/>
          <w:sz w:val="17"/>
          <w:szCs w:val="17"/>
          <w:lang w:eastAsia="fr-FR"/>
        </w:rPr>
      </w:pPr>
      <w:r w:rsidRPr="00DB6E0B">
        <w:rPr>
          <w:rFonts w:ascii="Arial" w:eastAsia="Times New Roman" w:hAnsi="Arial" w:cs="Arial"/>
          <w:b/>
          <w:bCs/>
          <w:caps/>
          <w:color w:val="4A4A4A"/>
          <w:sz w:val="17"/>
          <w:szCs w:val="17"/>
          <w:shd w:val="clear" w:color="auto" w:fill="D0D0D0"/>
          <w:lang w:eastAsia="fr-FR"/>
        </w:rPr>
        <w:t>vous êtes</w:t>
      </w:r>
    </w:p>
    <w:p w:rsidR="00DB6E0B" w:rsidRPr="00DB6E0B" w:rsidRDefault="00DB6E0B" w:rsidP="00DB6E0B">
      <w:pPr>
        <w:spacing w:after="200" w:line="240" w:lineRule="auto"/>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Une association dont le siège ou une antenne régionale se situe sur le territoire des Hauts-de-France. L’action menée au titre du projet devra également se dérouler sur ce même territoire.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rial" w:eastAsia="Times New Roman" w:hAnsi="Arial" w:cs="Arial"/>
          <w:color w:val="4A4A4A"/>
          <w:sz w:val="17"/>
          <w:szCs w:val="17"/>
          <w:lang w:eastAsia="fr-FR"/>
        </w:rPr>
        <w:br/>
      </w:r>
    </w:p>
    <w:p w:rsidR="00DB6E0B" w:rsidRPr="00DB6E0B" w:rsidRDefault="00DB6E0B" w:rsidP="00DB6E0B">
      <w:pPr>
        <w:pBdr>
          <w:bottom w:val="single" w:sz="6" w:space="0" w:color="D0D0D0"/>
        </w:pBdr>
        <w:shd w:val="clear" w:color="auto" w:fill="FFFFFF"/>
        <w:spacing w:before="225" w:after="75" w:line="225" w:lineRule="atLeast"/>
        <w:ind w:right="255"/>
        <w:outlineLvl w:val="3"/>
        <w:rPr>
          <w:rFonts w:ascii="Arial" w:eastAsia="Times New Roman" w:hAnsi="Arial" w:cs="Arial"/>
          <w:b/>
          <w:bCs/>
          <w:caps/>
          <w:color w:val="4A4A4A"/>
          <w:sz w:val="17"/>
          <w:szCs w:val="17"/>
          <w:lang w:eastAsia="fr-FR"/>
        </w:rPr>
      </w:pPr>
      <w:r w:rsidRPr="00DB6E0B">
        <w:rPr>
          <w:rFonts w:ascii="Arial" w:eastAsia="Times New Roman" w:hAnsi="Arial" w:cs="Arial"/>
          <w:b/>
          <w:bCs/>
          <w:caps/>
          <w:color w:val="4A4A4A"/>
          <w:sz w:val="17"/>
          <w:szCs w:val="17"/>
          <w:shd w:val="clear" w:color="auto" w:fill="D0D0D0"/>
          <w:lang w:eastAsia="fr-FR"/>
        </w:rPr>
        <w:t>vous voulez</w:t>
      </w:r>
    </w:p>
    <w:p w:rsidR="00DB6E0B" w:rsidRPr="00DB6E0B" w:rsidRDefault="00DB6E0B" w:rsidP="00DB6E0B">
      <w:pPr>
        <w:spacing w:after="120" w:line="240" w:lineRule="auto"/>
        <w:ind w:left="555" w:right="-274" w:hanging="360"/>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1)</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 xml:space="preserve">Proposer un projet se déroulant en 2017, dans les thématiques retenues (entreprenariat, travail, logement, sport, santé, environnement, citoyenneté, numérique, mobilité, etc.) et en lien avec les priorités régionales en matière de jeunesse et/ou la lutte contre l’illettrisme, présentant un caractère innovant ou d’expérimentation, ne faisant pas l’objet d’un soutien régional, présentant des perspectives de pérennisation. – </w:t>
      </w:r>
      <w:r w:rsidRPr="00DB6E0B">
        <w:rPr>
          <w:rFonts w:ascii="&amp;quot" w:eastAsia="Times New Roman" w:hAnsi="&amp;quot" w:cs="Arial"/>
          <w:b/>
          <w:bCs/>
          <w:color w:val="4A4A4A"/>
          <w:sz w:val="20"/>
          <w:szCs w:val="20"/>
          <w:lang w:eastAsia="fr-FR"/>
        </w:rPr>
        <w:t>Subvention ponctuelle au projet</w:t>
      </w:r>
    </w:p>
    <w:p w:rsidR="00DB6E0B" w:rsidRPr="00DB6E0B" w:rsidRDefault="00DB6E0B" w:rsidP="00DB6E0B">
      <w:pPr>
        <w:spacing w:line="256" w:lineRule="auto"/>
        <w:ind w:left="555" w:hanging="360"/>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2)</w:t>
      </w:r>
      <w:r w:rsidRPr="00DB6E0B">
        <w:rPr>
          <w:rFonts w:ascii="&amp;quot" w:eastAsia="Times New Roman" w:hAnsi="&amp;quot" w:cs="Arial"/>
          <w:color w:val="4A4A4A"/>
          <w:sz w:val="14"/>
          <w:szCs w:val="14"/>
          <w:lang w:eastAsia="fr-FR"/>
        </w:rPr>
        <w:t xml:space="preserve">     </w:t>
      </w:r>
      <w:r w:rsidRPr="00DB6E0B">
        <w:rPr>
          <w:rFonts w:ascii="&amp;quot" w:eastAsia="Times New Roman" w:hAnsi="&amp;quot" w:cs="Arial"/>
          <w:color w:val="4A4A4A"/>
          <w:sz w:val="20"/>
          <w:szCs w:val="20"/>
          <w:lang w:eastAsia="fr-FR"/>
        </w:rPr>
        <w:t xml:space="preserve">Projets pérennes ou en voie de pérennisation, dans les thématiques retenues (entreprenariat, travail, logement, sport, santé, environnement, citoyenneté, numérique, mobilité, etc.) et s’inscrivant dans au moins 2 des priorités régionales et la lutte contre l’illettrisme. La décision de proposer une convention de </w:t>
      </w:r>
      <w:r w:rsidRPr="00DB6E0B">
        <w:rPr>
          <w:rFonts w:ascii="&amp;quot" w:eastAsia="Times New Roman" w:hAnsi="&amp;quot" w:cs="Arial"/>
          <w:color w:val="4A4A4A"/>
          <w:sz w:val="20"/>
          <w:szCs w:val="20"/>
          <w:lang w:eastAsia="fr-FR"/>
        </w:rPr>
        <w:lastRenderedPageBreak/>
        <w:t xml:space="preserve">partenariat revient à la Région après avoir mis en place un dialogue de gestion. – </w:t>
      </w:r>
      <w:r w:rsidRPr="00DB6E0B">
        <w:rPr>
          <w:rFonts w:ascii="&amp;quot" w:eastAsia="Times New Roman" w:hAnsi="&amp;quot" w:cs="Arial"/>
          <w:b/>
          <w:bCs/>
          <w:color w:val="4A4A4A"/>
          <w:sz w:val="20"/>
          <w:szCs w:val="20"/>
          <w:lang w:eastAsia="fr-FR"/>
        </w:rPr>
        <w:t>Conventions de partenariat</w:t>
      </w:r>
    </w:p>
    <w:p w:rsidR="00DB6E0B" w:rsidRPr="00DB6E0B" w:rsidRDefault="00DB6E0B" w:rsidP="00DB6E0B">
      <w:pPr>
        <w:spacing w:after="120" w:line="240" w:lineRule="auto"/>
        <w:ind w:right="-274"/>
        <w:jc w:val="both"/>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rial" w:eastAsia="Times New Roman" w:hAnsi="Arial" w:cs="Arial"/>
          <w:color w:val="4A4A4A"/>
          <w:sz w:val="17"/>
          <w:szCs w:val="17"/>
          <w:lang w:eastAsia="fr-FR"/>
        </w:rPr>
        <w:br/>
      </w:r>
    </w:p>
    <w:p w:rsidR="00DB6E0B" w:rsidRPr="00DB6E0B" w:rsidRDefault="00DB6E0B" w:rsidP="00DB6E0B">
      <w:pPr>
        <w:pBdr>
          <w:bottom w:val="single" w:sz="6" w:space="0" w:color="D0D0D0"/>
        </w:pBdr>
        <w:shd w:val="clear" w:color="auto" w:fill="FFFFFF"/>
        <w:spacing w:before="225" w:after="75" w:line="225" w:lineRule="atLeast"/>
        <w:ind w:right="255"/>
        <w:outlineLvl w:val="3"/>
        <w:rPr>
          <w:rFonts w:ascii="Arial" w:eastAsia="Times New Roman" w:hAnsi="Arial" w:cs="Arial"/>
          <w:b/>
          <w:bCs/>
          <w:caps/>
          <w:color w:val="4A4A4A"/>
          <w:sz w:val="17"/>
          <w:szCs w:val="17"/>
          <w:lang w:eastAsia="fr-FR"/>
        </w:rPr>
      </w:pPr>
      <w:r w:rsidRPr="00DB6E0B">
        <w:rPr>
          <w:rFonts w:ascii="Arial" w:eastAsia="Times New Roman" w:hAnsi="Arial" w:cs="Arial"/>
          <w:b/>
          <w:bCs/>
          <w:caps/>
          <w:color w:val="4A4A4A"/>
          <w:sz w:val="17"/>
          <w:szCs w:val="17"/>
          <w:shd w:val="clear" w:color="auto" w:fill="D0D0D0"/>
          <w:lang w:eastAsia="fr-FR"/>
        </w:rPr>
        <w:t>ce qu'il faut savoir</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Modalités de financement</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Subvention forfaitaire si elle est inférieure à 23.000 €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Seront éligibles les dépenses de fonctionnement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Ne seront pas éligibles :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les salaires et charges de personnel relatifs à des emplois déjà soutenus par ailleurs,</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les dépenses d’investissement,</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les dotations aux amortissements,</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les emplois des contributions volontaires en nature,</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toute dépense jugée non corrélée au projet à financer.</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La subvention régionale ne pourra dépasser 40 % des dépenses éligibles.</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Elle sera limitée à 2 années maximum dans le cadre du soutien aux projets ponctuels.</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Nota Bene</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xml:space="preserve">Si le projet devient pérenne et suite à la demande du porteur de projet une Convention de Partenariat pourra, le cas échéant, être mise en place.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 </w:t>
      </w:r>
    </w:p>
    <w:p w:rsidR="00DB6E0B" w:rsidRPr="00DB6E0B" w:rsidRDefault="00DB6E0B" w:rsidP="00DB6E0B">
      <w:pPr>
        <w:spacing w:after="150" w:line="240" w:lineRule="auto"/>
        <w:rPr>
          <w:rFonts w:ascii="Arial" w:eastAsia="Times New Roman" w:hAnsi="Arial" w:cs="Arial"/>
          <w:color w:val="4A4A4A"/>
          <w:sz w:val="17"/>
          <w:szCs w:val="17"/>
          <w:lang w:eastAsia="fr-FR"/>
        </w:rPr>
      </w:pPr>
      <w:r w:rsidRPr="00DB6E0B">
        <w:rPr>
          <w:rFonts w:ascii="&amp;quot" w:eastAsia="Times New Roman" w:hAnsi="&amp;quot" w:cs="Arial"/>
          <w:color w:val="4A4A4A"/>
          <w:sz w:val="20"/>
          <w:szCs w:val="20"/>
          <w:lang w:eastAsia="fr-FR"/>
        </w:rPr>
        <w:t>Les demandes de subventions relatives à ce dispositif seront instruites en prévision de chaque Commission Permanente ou Séance Plénière.</w:t>
      </w:r>
    </w:p>
    <w:p w:rsidR="003B1079" w:rsidRDefault="003B1079"/>
    <w:p w:rsidR="00354550" w:rsidRDefault="00354550">
      <w:r>
        <w:t xml:space="preserve">CANDIDATURE SUR INTERNET : </w:t>
      </w:r>
    </w:p>
    <w:p w:rsidR="00354550" w:rsidRDefault="00354550">
      <w:hyperlink r:id="rId8" w:history="1">
        <w:r w:rsidRPr="00A003C3">
          <w:rPr>
            <w:rStyle w:val="Lienhypertexte"/>
          </w:rPr>
          <w:t>https://aidesenligne.hauts</w:t>
        </w:r>
        <w:bookmarkStart w:id="0" w:name="_GoBack"/>
        <w:bookmarkEnd w:id="0"/>
        <w:r w:rsidRPr="00A003C3">
          <w:rPr>
            <w:rStyle w:val="Lienhypertexte"/>
          </w:rPr>
          <w:t>defrance.fr/sub/extranet/dispositif-consulter.sub?sigle=4TIL</w:t>
        </w:r>
      </w:hyperlink>
      <w:r>
        <w:t xml:space="preserve"> </w:t>
      </w:r>
    </w:p>
    <w:sectPr w:rsidR="0035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3DF"/>
    <w:multiLevelType w:val="multilevel"/>
    <w:tmpl w:val="C0F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B2064"/>
    <w:multiLevelType w:val="multilevel"/>
    <w:tmpl w:val="8B7C7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0B"/>
    <w:rsid w:val="00354550"/>
    <w:rsid w:val="003B1079"/>
    <w:rsid w:val="00DB6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D0D"/>
  <w15:chartTrackingRefBased/>
  <w15:docId w15:val="{5B4A9643-7E65-440C-8C51-A55AFDD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DB6E0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B6E0B"/>
    <w:rPr>
      <w:rFonts w:ascii="Times New Roman" w:eastAsia="Times New Roman" w:hAnsi="Times New Roman" w:cs="Times New Roman"/>
      <w:b/>
      <w:bCs/>
      <w:sz w:val="24"/>
      <w:szCs w:val="24"/>
      <w:lang w:eastAsia="fr-FR"/>
    </w:rPr>
  </w:style>
  <w:style w:type="character" w:customStyle="1" w:styleId="middle">
    <w:name w:val="middle"/>
    <w:basedOn w:val="Policepardfaut"/>
    <w:rsid w:val="00DB6E0B"/>
  </w:style>
  <w:style w:type="paragraph" w:styleId="z-Hautduformulaire">
    <w:name w:val="HTML Top of Form"/>
    <w:basedOn w:val="Normal"/>
    <w:next w:val="Normal"/>
    <w:link w:val="z-HautduformulaireCar"/>
    <w:hidden/>
    <w:uiPriority w:val="99"/>
    <w:semiHidden/>
    <w:unhideWhenUsed/>
    <w:rsid w:val="00DB6E0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6E0B"/>
    <w:rPr>
      <w:rFonts w:ascii="Arial" w:eastAsia="Times New Roman" w:hAnsi="Arial" w:cs="Arial"/>
      <w:vanish/>
      <w:sz w:val="16"/>
      <w:szCs w:val="16"/>
      <w:lang w:eastAsia="fr-FR"/>
    </w:rPr>
  </w:style>
  <w:style w:type="character" w:customStyle="1" w:styleId="dispositif-lien">
    <w:name w:val="dispositif-lien"/>
    <w:basedOn w:val="Policepardfaut"/>
    <w:rsid w:val="00DB6E0B"/>
  </w:style>
  <w:style w:type="character" w:customStyle="1" w:styleId="intitule">
    <w:name w:val="intitule"/>
    <w:basedOn w:val="Policepardfaut"/>
    <w:rsid w:val="00DB6E0B"/>
  </w:style>
  <w:style w:type="paragraph" w:styleId="z-Basduformulaire">
    <w:name w:val="HTML Bottom of Form"/>
    <w:basedOn w:val="Normal"/>
    <w:next w:val="Normal"/>
    <w:link w:val="z-BasduformulaireCar"/>
    <w:hidden/>
    <w:uiPriority w:val="99"/>
    <w:semiHidden/>
    <w:unhideWhenUsed/>
    <w:rsid w:val="00DB6E0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B6E0B"/>
    <w:rPr>
      <w:rFonts w:ascii="Arial" w:eastAsia="Times New Roman" w:hAnsi="Arial" w:cs="Arial"/>
      <w:vanish/>
      <w:sz w:val="16"/>
      <w:szCs w:val="16"/>
      <w:lang w:eastAsia="fr-FR"/>
    </w:rPr>
  </w:style>
  <w:style w:type="paragraph" w:styleId="Sansinterligne">
    <w:name w:val="No Spacing"/>
    <w:basedOn w:val="Normal"/>
    <w:uiPriority w:val="1"/>
    <w:qFormat/>
    <w:rsid w:val="00DB6E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6E0B"/>
    <w:rPr>
      <w:b/>
      <w:bCs/>
    </w:rPr>
  </w:style>
  <w:style w:type="character" w:styleId="Lienhypertexte">
    <w:name w:val="Hyperlink"/>
    <w:basedOn w:val="Policepardfaut"/>
    <w:uiPriority w:val="99"/>
    <w:unhideWhenUsed/>
    <w:rsid w:val="0035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08710">
      <w:bodyDiv w:val="1"/>
      <w:marLeft w:val="0"/>
      <w:marRight w:val="0"/>
      <w:marTop w:val="0"/>
      <w:marBottom w:val="0"/>
      <w:divBdr>
        <w:top w:val="none" w:sz="0" w:space="0" w:color="auto"/>
        <w:left w:val="none" w:sz="0" w:space="0" w:color="auto"/>
        <w:bottom w:val="none" w:sz="0" w:space="0" w:color="auto"/>
        <w:right w:val="none" w:sz="0" w:space="0" w:color="auto"/>
      </w:divBdr>
      <w:divsChild>
        <w:div w:id="1606890167">
          <w:marLeft w:val="0"/>
          <w:marRight w:val="0"/>
          <w:marTop w:val="0"/>
          <w:marBottom w:val="150"/>
          <w:divBdr>
            <w:top w:val="none" w:sz="0" w:space="0" w:color="auto"/>
            <w:left w:val="none" w:sz="0" w:space="0" w:color="auto"/>
            <w:bottom w:val="none" w:sz="0" w:space="0" w:color="auto"/>
            <w:right w:val="none" w:sz="0" w:space="0" w:color="auto"/>
          </w:divBdr>
        </w:div>
        <w:div w:id="866987817">
          <w:marLeft w:val="0"/>
          <w:marRight w:val="0"/>
          <w:marTop w:val="0"/>
          <w:marBottom w:val="150"/>
          <w:divBdr>
            <w:top w:val="none" w:sz="0" w:space="0" w:color="auto"/>
            <w:left w:val="none" w:sz="0" w:space="0" w:color="auto"/>
            <w:bottom w:val="none" w:sz="0" w:space="0" w:color="auto"/>
            <w:right w:val="none" w:sz="0" w:space="0" w:color="auto"/>
          </w:divBdr>
          <w:divsChild>
            <w:div w:id="620381241">
              <w:marLeft w:val="0"/>
              <w:marRight w:val="0"/>
              <w:marTop w:val="0"/>
              <w:marBottom w:val="0"/>
              <w:divBdr>
                <w:top w:val="none" w:sz="0" w:space="0" w:color="auto"/>
                <w:left w:val="none" w:sz="0" w:space="0" w:color="auto"/>
                <w:bottom w:val="none" w:sz="0" w:space="0" w:color="auto"/>
                <w:right w:val="none" w:sz="0" w:space="0" w:color="auto"/>
              </w:divBdr>
            </w:div>
            <w:div w:id="1168864269">
              <w:marLeft w:val="0"/>
              <w:marRight w:val="0"/>
              <w:marTop w:val="0"/>
              <w:marBottom w:val="0"/>
              <w:divBdr>
                <w:top w:val="none" w:sz="0" w:space="0" w:color="auto"/>
                <w:left w:val="single" w:sz="24" w:space="1" w:color="9A958C"/>
                <w:bottom w:val="none" w:sz="0" w:space="0" w:color="auto"/>
                <w:right w:val="single" w:sz="24" w:space="1" w:color="9A958C"/>
              </w:divBdr>
              <w:divsChild>
                <w:div w:id="271981211">
                  <w:marLeft w:val="0"/>
                  <w:marRight w:val="0"/>
                  <w:marTop w:val="0"/>
                  <w:marBottom w:val="0"/>
                  <w:divBdr>
                    <w:top w:val="none" w:sz="0" w:space="0" w:color="auto"/>
                    <w:left w:val="none" w:sz="0" w:space="0" w:color="auto"/>
                    <w:bottom w:val="none" w:sz="0" w:space="0" w:color="auto"/>
                    <w:right w:val="none" w:sz="0" w:space="0" w:color="auto"/>
                  </w:divBdr>
                  <w:divsChild>
                    <w:div w:id="649021515">
                      <w:marLeft w:val="0"/>
                      <w:marRight w:val="120"/>
                      <w:marTop w:val="0"/>
                      <w:marBottom w:val="0"/>
                      <w:divBdr>
                        <w:top w:val="none" w:sz="0" w:space="0" w:color="auto"/>
                        <w:left w:val="none" w:sz="0" w:space="0" w:color="auto"/>
                        <w:bottom w:val="none" w:sz="0" w:space="0" w:color="auto"/>
                        <w:right w:val="none" w:sz="0" w:space="0" w:color="auto"/>
                      </w:divBdr>
                      <w:divsChild>
                        <w:div w:id="387192080">
                          <w:marLeft w:val="60"/>
                          <w:marRight w:val="60"/>
                          <w:marTop w:val="0"/>
                          <w:marBottom w:val="0"/>
                          <w:divBdr>
                            <w:top w:val="none" w:sz="0" w:space="0" w:color="auto"/>
                            <w:left w:val="none" w:sz="0" w:space="0" w:color="auto"/>
                            <w:bottom w:val="none" w:sz="0" w:space="0" w:color="auto"/>
                            <w:right w:val="none" w:sz="0" w:space="0" w:color="auto"/>
                          </w:divBdr>
                          <w:divsChild>
                            <w:div w:id="1118137832">
                              <w:marLeft w:val="75"/>
                              <w:marRight w:val="0"/>
                              <w:marTop w:val="0"/>
                              <w:marBottom w:val="150"/>
                              <w:divBdr>
                                <w:top w:val="none" w:sz="0" w:space="0" w:color="auto"/>
                                <w:left w:val="none" w:sz="0" w:space="0" w:color="auto"/>
                                <w:bottom w:val="none" w:sz="0" w:space="0" w:color="auto"/>
                                <w:right w:val="none" w:sz="0" w:space="0" w:color="auto"/>
                              </w:divBdr>
                              <w:divsChild>
                                <w:div w:id="1648240087">
                                  <w:marLeft w:val="0"/>
                                  <w:marRight w:val="0"/>
                                  <w:marTop w:val="0"/>
                                  <w:marBottom w:val="0"/>
                                  <w:divBdr>
                                    <w:top w:val="none" w:sz="0" w:space="0" w:color="auto"/>
                                    <w:left w:val="none" w:sz="0" w:space="0" w:color="auto"/>
                                    <w:bottom w:val="none" w:sz="0" w:space="0" w:color="auto"/>
                                    <w:right w:val="none" w:sz="0" w:space="0" w:color="auto"/>
                                  </w:divBdr>
                                </w:div>
                                <w:div w:id="760183873">
                                  <w:marLeft w:val="0"/>
                                  <w:marRight w:val="0"/>
                                  <w:marTop w:val="0"/>
                                  <w:marBottom w:val="0"/>
                                  <w:divBdr>
                                    <w:top w:val="none" w:sz="0" w:space="0" w:color="auto"/>
                                    <w:left w:val="none" w:sz="0" w:space="0" w:color="auto"/>
                                    <w:bottom w:val="none" w:sz="0" w:space="0" w:color="auto"/>
                                    <w:right w:val="none" w:sz="0" w:space="0" w:color="auto"/>
                                  </w:divBdr>
                                </w:div>
                                <w:div w:id="93020405">
                                  <w:marLeft w:val="0"/>
                                  <w:marRight w:val="0"/>
                                  <w:marTop w:val="0"/>
                                  <w:marBottom w:val="75"/>
                                  <w:divBdr>
                                    <w:top w:val="none" w:sz="0" w:space="0" w:color="auto"/>
                                    <w:left w:val="none" w:sz="0" w:space="0" w:color="auto"/>
                                    <w:bottom w:val="none" w:sz="0" w:space="0" w:color="auto"/>
                                    <w:right w:val="none" w:sz="0" w:space="0" w:color="auto"/>
                                  </w:divBdr>
                                </w:div>
                                <w:div w:id="1050232535">
                                  <w:marLeft w:val="0"/>
                                  <w:marRight w:val="0"/>
                                  <w:marTop w:val="0"/>
                                  <w:marBottom w:val="75"/>
                                  <w:divBdr>
                                    <w:top w:val="none" w:sz="0" w:space="0" w:color="auto"/>
                                    <w:left w:val="none" w:sz="0" w:space="0" w:color="auto"/>
                                    <w:bottom w:val="none" w:sz="0" w:space="0" w:color="auto"/>
                                    <w:right w:val="none" w:sz="0" w:space="0" w:color="auto"/>
                                  </w:divBdr>
                                </w:div>
                                <w:div w:id="1439371654">
                                  <w:marLeft w:val="0"/>
                                  <w:marRight w:val="0"/>
                                  <w:marTop w:val="0"/>
                                  <w:marBottom w:val="75"/>
                                  <w:divBdr>
                                    <w:top w:val="none" w:sz="0" w:space="0" w:color="auto"/>
                                    <w:left w:val="none" w:sz="0" w:space="0" w:color="auto"/>
                                    <w:bottom w:val="none" w:sz="0" w:space="0" w:color="auto"/>
                                    <w:right w:val="none" w:sz="0" w:space="0" w:color="auto"/>
                                  </w:divBdr>
                                </w:div>
                                <w:div w:id="13480259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enligne.hautsdefrance.fr/sub/extranet/dispositif-consulter.sub?sigle=4TI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Kévin GUILBERT</dc:creator>
  <cp:keywords/>
  <dc:description/>
  <cp:lastModifiedBy>Kévin GUILBERT</cp:lastModifiedBy>
  <cp:revision>2</cp:revision>
  <dcterms:created xsi:type="dcterms:W3CDTF">2020-02-27T13:47:00Z</dcterms:created>
  <dcterms:modified xsi:type="dcterms:W3CDTF">2020-02-27T13:50:00Z</dcterms:modified>
</cp:coreProperties>
</file>